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C9" w:rsidRDefault="005B13C9" w:rsidP="00EF061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EF0615" w:rsidRDefault="00FD1AB4" w:rsidP="00EF061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RESUMEN EJECUTIVO</w:t>
      </w:r>
    </w:p>
    <w:p w:rsidR="00EF0615" w:rsidRDefault="00EF0615" w:rsidP="00EF061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5B13C9" w:rsidRPr="005B13C9" w:rsidRDefault="005B13C9" w:rsidP="005B13C9">
      <w:pPr>
        <w:spacing w:line="360" w:lineRule="auto"/>
        <w:jc w:val="both"/>
        <w:rPr>
          <w:rFonts w:ascii="Arial" w:hAnsi="Arial" w:cs="Arial"/>
          <w:sz w:val="24"/>
        </w:rPr>
      </w:pPr>
      <w:r w:rsidRPr="005B13C9">
        <w:rPr>
          <w:rFonts w:ascii="Arial" w:hAnsi="Arial" w:cs="Arial"/>
          <w:sz w:val="24"/>
        </w:rPr>
        <w:t>En cumplimiento con lo establecido en el inciso g) del artículo 22 de la Ley General de Control Interno N.°8292, punto 2.6 de las Normas para el Ejercicio de la Auditoría Interna en el Sector Público, punto 2.7.2. Funciones y Responsabilidades del Auditor Interno señaladas en el Manual de Organización y Funciones de la Auditoria Interna, directrices y lineamientos emitidos por la Contraloría General de la República.</w:t>
      </w:r>
    </w:p>
    <w:p w:rsidR="005B13C9" w:rsidRPr="005B13C9" w:rsidRDefault="005B13C9" w:rsidP="005B13C9">
      <w:pPr>
        <w:spacing w:line="360" w:lineRule="auto"/>
        <w:jc w:val="both"/>
        <w:rPr>
          <w:rFonts w:ascii="Arial" w:hAnsi="Arial" w:cs="Arial"/>
          <w:sz w:val="24"/>
        </w:rPr>
      </w:pPr>
      <w:r w:rsidRPr="005B13C9">
        <w:rPr>
          <w:rFonts w:ascii="Arial" w:hAnsi="Arial" w:cs="Arial"/>
          <w:sz w:val="24"/>
        </w:rPr>
        <w:t xml:space="preserve">La Auditoría Interna presta servicios conforme al inciso 1.1.4 de las Normas para el Ejercicio de la Auditoría Interna en el Sector Público, las cuales se clasifican en servicios de auditoría y servicios preventivos. Los servicios de auditoría comprenden los distintos tipos de auditoría tales como: </w:t>
      </w:r>
      <w:r>
        <w:rPr>
          <w:rFonts w:ascii="Arial" w:hAnsi="Arial" w:cs="Arial"/>
          <w:sz w:val="24"/>
        </w:rPr>
        <w:t>a</w:t>
      </w:r>
      <w:r w:rsidRPr="005B13C9">
        <w:rPr>
          <w:rFonts w:ascii="Arial" w:hAnsi="Arial" w:cs="Arial"/>
          <w:sz w:val="24"/>
        </w:rPr>
        <w:t>uditoria financiera, operativa y de carácter especial, de estas se derivan informes de control interno, relaciones de hechos y denuncias penales y los servicios preventivos incluyen: asesorías, advertencias y autorización de libros.</w:t>
      </w:r>
    </w:p>
    <w:p w:rsidR="005B13C9" w:rsidRPr="005B13C9" w:rsidRDefault="005B13C9" w:rsidP="005B13C9">
      <w:pPr>
        <w:spacing w:line="360" w:lineRule="auto"/>
        <w:jc w:val="both"/>
        <w:rPr>
          <w:rFonts w:ascii="Arial" w:hAnsi="Arial" w:cs="Arial"/>
          <w:sz w:val="24"/>
        </w:rPr>
      </w:pPr>
      <w:r w:rsidRPr="005B13C9">
        <w:rPr>
          <w:rFonts w:ascii="Arial" w:hAnsi="Arial" w:cs="Arial"/>
          <w:sz w:val="24"/>
        </w:rPr>
        <w:t>Asimismo, contribuye al alcance de los objetivos institucionales, mediante la práctica de un enfoque sistémico y profesional para evaluar y mejorar la efectividad de la administración del riesgo, del control y de los procesos de dirección del Instituto, proporcionando a la ciudadanía una garantía razonable de que la actuación del jerarca y la del resto de la administración se ejecuta conforme al marco legal, técnico y a las sanas prácticas. </w:t>
      </w:r>
    </w:p>
    <w:p w:rsidR="005B13C9" w:rsidRPr="005B13C9" w:rsidRDefault="005B13C9" w:rsidP="005B13C9">
      <w:pPr>
        <w:spacing w:line="360" w:lineRule="auto"/>
        <w:jc w:val="both"/>
        <w:rPr>
          <w:rFonts w:ascii="Arial" w:hAnsi="Arial" w:cs="Arial"/>
          <w:sz w:val="24"/>
        </w:rPr>
      </w:pPr>
      <w:r w:rsidRPr="005B13C9">
        <w:rPr>
          <w:rFonts w:ascii="Arial" w:hAnsi="Arial" w:cs="Arial"/>
          <w:sz w:val="24"/>
        </w:rPr>
        <w:t>A pesar de los esfuerzos que realiza la administración activa, para dar cumplimiento a las recomendaciones emitidas por las auditorías realizadas y despachos de contadores públicos y disposiciones de la Contraloría General de la República, de los, quedan algunas pendientes y otras en proceso de atención de períodos anteriores.</w:t>
      </w:r>
    </w:p>
    <w:p w:rsidR="005B13C9" w:rsidRPr="005B13C9" w:rsidRDefault="005B13C9" w:rsidP="005B13C9">
      <w:pPr>
        <w:spacing w:line="360" w:lineRule="auto"/>
        <w:jc w:val="both"/>
        <w:rPr>
          <w:rFonts w:ascii="Arial" w:hAnsi="Arial" w:cs="Arial"/>
          <w:sz w:val="24"/>
        </w:rPr>
      </w:pPr>
      <w:r w:rsidRPr="005B13C9">
        <w:rPr>
          <w:rFonts w:ascii="Arial" w:hAnsi="Arial" w:cs="Arial"/>
          <w:sz w:val="24"/>
        </w:rPr>
        <w:t xml:space="preserve">De los servicios prestados se emitieron: </w:t>
      </w:r>
      <w:bookmarkStart w:id="0" w:name="OLE_LINK1"/>
      <w:r w:rsidRPr="005B13C9">
        <w:rPr>
          <w:rFonts w:ascii="Arial" w:hAnsi="Arial" w:cs="Arial"/>
          <w:sz w:val="24"/>
        </w:rPr>
        <w:t xml:space="preserve">23 informes de control interno; 4 auditorías con resultados satisfactorios, 1 relación de hecho; 97 notas de seguimientos de auditorías (informes de control interno, carácter especial, advertencias, relaciones de hechos y seguimientos a las recomendaciones de la </w:t>
      </w:r>
      <w:r w:rsidRPr="005B13C9">
        <w:rPr>
          <w:rFonts w:ascii="Arial" w:hAnsi="Arial" w:cs="Arial"/>
          <w:sz w:val="24"/>
        </w:rPr>
        <w:lastRenderedPageBreak/>
        <w:t>Auditoria Externa); 23 cierres de estudios por haberse implementado las recomendaciones; 13 notas de advertencias; 1 asesoría por escrito; 16 auditorías de carácter especial y 22 traslados a la Administración Activa; 11 autorizaciones de libros de apertura y cierres de actas de la Junta Directiva</w:t>
      </w:r>
      <w:bookmarkEnd w:id="0"/>
      <w:r w:rsidRPr="005B13C9">
        <w:rPr>
          <w:rFonts w:ascii="Arial" w:hAnsi="Arial" w:cs="Arial"/>
          <w:sz w:val="24"/>
        </w:rPr>
        <w:t xml:space="preserve">, libros legales (diario y mayor) de la Dirección de Finanzas y 33 capacitaciones. </w:t>
      </w:r>
    </w:p>
    <w:p w:rsidR="00FD1AB4" w:rsidRPr="005B13C9" w:rsidRDefault="00FD1AB4" w:rsidP="005B13C9">
      <w:pPr>
        <w:spacing w:line="360" w:lineRule="auto"/>
        <w:rPr>
          <w:sz w:val="24"/>
        </w:rPr>
      </w:pPr>
    </w:p>
    <w:p w:rsidR="00FD1AB4" w:rsidRDefault="00FD1AB4" w:rsidP="00FD1AB4"/>
    <w:p w:rsidR="00FD1AB4" w:rsidRDefault="00FD1AB4" w:rsidP="00FD1AB4"/>
    <w:p w:rsidR="00FD1AB4" w:rsidRDefault="00FD1AB4" w:rsidP="00FD1AB4"/>
    <w:p w:rsidR="00FD1AB4" w:rsidRDefault="00FD1AB4" w:rsidP="00FD1AB4"/>
    <w:p w:rsidR="00FD1AB4" w:rsidRDefault="00FD1AB4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/>
    <w:p w:rsidR="005B13C9" w:rsidRDefault="005B13C9" w:rsidP="00FD1AB4">
      <w:bookmarkStart w:id="1" w:name="_GoBack"/>
      <w:bookmarkEnd w:id="1"/>
    </w:p>
    <w:p w:rsidR="005B13C9" w:rsidRDefault="005B13C9" w:rsidP="00FD1AB4"/>
    <w:p w:rsidR="005B13C9" w:rsidRDefault="005B13C9" w:rsidP="00FD1AB4"/>
    <w:p w:rsidR="005B13C9" w:rsidRDefault="005B13C9" w:rsidP="00FD1AB4"/>
    <w:tbl>
      <w:tblPr>
        <w:tblStyle w:val="Tablaconcuadrcula"/>
        <w:tblW w:w="850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FD1AB4" w:rsidTr="00FD1AB4">
        <w:tc>
          <w:tcPr>
            <w:tcW w:w="4253" w:type="dxa"/>
          </w:tcPr>
          <w:p w:rsidR="00FD1AB4" w:rsidRDefault="00FD1AB4" w:rsidP="002E0684">
            <w:r>
              <w:t xml:space="preserve">Preparado por:  </w:t>
            </w:r>
          </w:p>
          <w:p w:rsidR="00FD1AB4" w:rsidRDefault="00FD1AB4" w:rsidP="002E0684">
            <w:r>
              <w:t>Licda. Jacqueline Vargas Rodríguez</w:t>
            </w:r>
          </w:p>
          <w:p w:rsidR="003D53CC" w:rsidRDefault="003D53CC" w:rsidP="002E0684">
            <w:r>
              <w:t>Licda. Ana Rita Rojas Espinoza</w:t>
            </w:r>
          </w:p>
          <w:p w:rsidR="00FD1AB4" w:rsidRDefault="00FD1AB4" w:rsidP="002E0684">
            <w:r>
              <w:t>MBA. Rocío Torres Hernández</w:t>
            </w:r>
          </w:p>
          <w:p w:rsidR="00FD1AB4" w:rsidRDefault="00FD1AB4" w:rsidP="002E0684">
            <w:r>
              <w:t xml:space="preserve"> </w:t>
            </w:r>
          </w:p>
        </w:tc>
        <w:tc>
          <w:tcPr>
            <w:tcW w:w="4252" w:type="dxa"/>
          </w:tcPr>
          <w:p w:rsidR="00FD1AB4" w:rsidRDefault="00FD1AB4" w:rsidP="002E0684">
            <w:r>
              <w:t xml:space="preserve">Aprobado por:  </w:t>
            </w:r>
          </w:p>
          <w:p w:rsidR="00FD1AB4" w:rsidRDefault="00FD1AB4" w:rsidP="002E0684">
            <w:r>
              <w:t>MBA. Alcides Vargas Pacheco</w:t>
            </w:r>
          </w:p>
        </w:tc>
      </w:tr>
      <w:tr w:rsidR="00FD1AB4" w:rsidTr="00FD1AB4">
        <w:tc>
          <w:tcPr>
            <w:tcW w:w="4253" w:type="dxa"/>
          </w:tcPr>
          <w:p w:rsidR="00FD1AB4" w:rsidRDefault="00FD1AB4" w:rsidP="002E0684">
            <w:r>
              <w:t>Fecha:</w:t>
            </w:r>
          </w:p>
          <w:p w:rsidR="00FD1AB4" w:rsidRDefault="00FD1AB4" w:rsidP="002E0684">
            <w:r>
              <w:t>2</w:t>
            </w:r>
            <w:r w:rsidR="00DF45D9">
              <w:t>9</w:t>
            </w:r>
            <w:r>
              <w:t>-03-2018</w:t>
            </w:r>
          </w:p>
        </w:tc>
        <w:tc>
          <w:tcPr>
            <w:tcW w:w="4252" w:type="dxa"/>
          </w:tcPr>
          <w:p w:rsidR="00FD1AB4" w:rsidRDefault="00FD1AB4" w:rsidP="002E0684">
            <w:r>
              <w:t>Hora:</w:t>
            </w:r>
          </w:p>
          <w:p w:rsidR="00FD1AB4" w:rsidRDefault="001F781D" w:rsidP="002E0684">
            <w:r>
              <w:t>2</w:t>
            </w:r>
            <w:r w:rsidR="00FD1AB4">
              <w:t>:</w:t>
            </w:r>
            <w:r>
              <w:t>50</w:t>
            </w:r>
            <w:r w:rsidR="00FD1AB4">
              <w:t xml:space="preserve"> </w:t>
            </w:r>
            <w:r>
              <w:t>p</w:t>
            </w:r>
            <w:r w:rsidR="00FD1AB4">
              <w:t>m</w:t>
            </w:r>
          </w:p>
        </w:tc>
      </w:tr>
    </w:tbl>
    <w:p w:rsidR="00014451" w:rsidRPr="00FD1AB4" w:rsidRDefault="00014451" w:rsidP="00FD1AB4"/>
    <w:sectPr w:rsidR="00014451" w:rsidRPr="00FD1A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4A7" w:rsidRDefault="00F354A7" w:rsidP="00FD1AB4">
      <w:pPr>
        <w:spacing w:after="0" w:line="240" w:lineRule="auto"/>
      </w:pPr>
      <w:r>
        <w:separator/>
      </w:r>
    </w:p>
  </w:endnote>
  <w:endnote w:type="continuationSeparator" w:id="0">
    <w:p w:rsidR="00F354A7" w:rsidRDefault="00F354A7" w:rsidP="00FD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B4" w:rsidRDefault="00FD1AB4">
    <w:pPr>
      <w:pStyle w:val="Piedepgina"/>
      <w:jc w:val="right"/>
    </w:pPr>
    <w:r>
      <w:t xml:space="preserve">Pág. </w:t>
    </w:r>
    <w:sdt>
      <w:sdtPr>
        <w:id w:val="21143866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FD1AB4" w:rsidRPr="00FD1AB4" w:rsidRDefault="00FD1AB4" w:rsidP="00FD1AB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4A7" w:rsidRDefault="00F354A7" w:rsidP="00FD1AB4">
      <w:pPr>
        <w:spacing w:after="0" w:line="240" w:lineRule="auto"/>
      </w:pPr>
      <w:r>
        <w:separator/>
      </w:r>
    </w:p>
  </w:footnote>
  <w:footnote w:type="continuationSeparator" w:id="0">
    <w:p w:rsidR="00F354A7" w:rsidRDefault="00F354A7" w:rsidP="00FD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B4" w:rsidRPr="00825655" w:rsidRDefault="00FD1AB4" w:rsidP="00FD1AB4">
    <w:pPr>
      <w:tabs>
        <w:tab w:val="left" w:pos="11610"/>
        <w:tab w:val="left" w:pos="11880"/>
      </w:tabs>
      <w:suppressAutoHyphens/>
      <w:spacing w:after="0" w:line="360" w:lineRule="auto"/>
      <w:ind w:left="142"/>
      <w:jc w:val="center"/>
      <w:rPr>
        <w:rFonts w:ascii="Arial" w:eastAsia="Times New Roman" w:hAnsi="Arial" w:cs="Arial"/>
        <w:b/>
        <w:iCs/>
        <w:kern w:val="1"/>
        <w:sz w:val="24"/>
        <w:szCs w:val="20"/>
        <w:lang w:val="es-CR" w:eastAsia="ar-SA"/>
      </w:rPr>
    </w:pPr>
    <w:r w:rsidRPr="00825655">
      <w:rPr>
        <w:rFonts w:ascii="Calibri" w:eastAsia="SimSun" w:hAnsi="Calibri" w:cs="font437"/>
        <w:noProof/>
        <w:kern w:val="1"/>
        <w:lang w:eastAsia="es-ES"/>
      </w:rPr>
      <w:drawing>
        <wp:anchor distT="0" distB="0" distL="0" distR="0" simplePos="0" relativeHeight="251659264" behindDoc="0" locked="0" layoutInCell="1" allowOverlap="1" wp14:anchorId="03BB86F4" wp14:editId="4C34E335">
          <wp:simplePos x="0" y="0"/>
          <wp:positionH relativeFrom="column">
            <wp:posOffset>-727710</wp:posOffset>
          </wp:positionH>
          <wp:positionV relativeFrom="paragraph">
            <wp:posOffset>-97155</wp:posOffset>
          </wp:positionV>
          <wp:extent cx="770890" cy="73787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37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655">
      <w:rPr>
        <w:rFonts w:ascii="Arial" w:eastAsia="Times New Roman" w:hAnsi="Arial" w:cs="Arial"/>
        <w:b/>
        <w:bCs/>
        <w:kern w:val="1"/>
        <w:sz w:val="24"/>
        <w:szCs w:val="20"/>
        <w:lang w:val="es-CR" w:eastAsia="ar-SA"/>
      </w:rPr>
      <w:t>INSTITUTO COSTARRICENSE DE ACUEDUCTOS Y ALCANTARILLADOS</w:t>
    </w:r>
  </w:p>
  <w:p w:rsidR="00FD1AB4" w:rsidRPr="00825655" w:rsidRDefault="00FD1AB4" w:rsidP="00FD1AB4">
    <w:pPr>
      <w:tabs>
        <w:tab w:val="left" w:pos="11610"/>
        <w:tab w:val="left" w:pos="11880"/>
      </w:tabs>
      <w:suppressAutoHyphens/>
      <w:spacing w:after="0" w:line="360" w:lineRule="auto"/>
      <w:ind w:left="709"/>
      <w:jc w:val="center"/>
      <w:rPr>
        <w:rFonts w:ascii="Arial" w:eastAsia="Times New Roman" w:hAnsi="Arial" w:cs="Arial"/>
        <w:b/>
        <w:bCs/>
        <w:kern w:val="1"/>
        <w:sz w:val="24"/>
        <w:szCs w:val="20"/>
        <w:lang w:val="es-CR" w:eastAsia="ar-SA"/>
      </w:rPr>
    </w:pPr>
    <w:r w:rsidRPr="00825655">
      <w:rPr>
        <w:rFonts w:ascii="Arial" w:eastAsia="Times New Roman" w:hAnsi="Arial" w:cs="Arial"/>
        <w:b/>
        <w:iCs/>
        <w:kern w:val="1"/>
        <w:sz w:val="24"/>
        <w:szCs w:val="20"/>
        <w:lang w:val="es-CR" w:eastAsia="ar-SA"/>
      </w:rPr>
      <w:t>San José, Costa Rica</w:t>
    </w:r>
  </w:p>
  <w:p w:rsidR="00FD1AB4" w:rsidRPr="00825655" w:rsidRDefault="00FD1AB4" w:rsidP="00FD1AB4">
    <w:pPr>
      <w:keepNext/>
      <w:numPr>
        <w:ilvl w:val="3"/>
        <w:numId w:val="1"/>
      </w:numPr>
      <w:tabs>
        <w:tab w:val="left" w:pos="0"/>
      </w:tabs>
      <w:suppressAutoHyphens/>
      <w:spacing w:after="0" w:line="360" w:lineRule="auto"/>
      <w:ind w:left="709"/>
      <w:jc w:val="center"/>
      <w:rPr>
        <w:rFonts w:ascii="Calibri" w:eastAsia="SimSun" w:hAnsi="Calibri" w:cs="font437"/>
        <w:kern w:val="1"/>
        <w:lang w:val="es-CR" w:eastAsia="ar-SA"/>
      </w:rPr>
    </w:pPr>
    <w:r w:rsidRPr="00825655">
      <w:rPr>
        <w:rFonts w:ascii="Arial" w:eastAsia="Times New Roman" w:hAnsi="Arial" w:cs="Arial"/>
        <w:b/>
        <w:bCs/>
        <w:kern w:val="1"/>
        <w:sz w:val="24"/>
        <w:szCs w:val="20"/>
        <w:lang w:val="es-CR" w:eastAsia="ar-SA"/>
      </w:rPr>
      <w:t>Apartado 1097-1200         Teléfono 2242-5050</w:t>
    </w:r>
  </w:p>
  <w:p w:rsidR="00FD1AB4" w:rsidRPr="00FD1AB4" w:rsidRDefault="00FD1AB4" w:rsidP="00FD1AB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Batang" w:hAnsi="Arial" w:cs="Arial"/>
        <w:b/>
        <w:bCs/>
        <w:sz w:val="24"/>
        <w:szCs w:val="24"/>
        <w:lang w:val="es-E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15"/>
    <w:rsid w:val="00014451"/>
    <w:rsid w:val="001F16DF"/>
    <w:rsid w:val="001F781D"/>
    <w:rsid w:val="003D53CC"/>
    <w:rsid w:val="005B13C9"/>
    <w:rsid w:val="00B6214B"/>
    <w:rsid w:val="00DF45D9"/>
    <w:rsid w:val="00EF0615"/>
    <w:rsid w:val="00F354A7"/>
    <w:rsid w:val="00F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D1109"/>
  <w15:chartTrackingRefBased/>
  <w15:docId w15:val="{D9EB0F93-CF10-421F-8FCE-224EDFDE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AB4"/>
  </w:style>
  <w:style w:type="paragraph" w:styleId="Piedepgina">
    <w:name w:val="footer"/>
    <w:basedOn w:val="Normal"/>
    <w:link w:val="PiedepginaCar"/>
    <w:uiPriority w:val="99"/>
    <w:unhideWhenUsed/>
    <w:rsid w:val="00FD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20C3B2D573F345A6D4940144AE1DBE" ma:contentTypeVersion="2" ma:contentTypeDescription="Crear nuevo documento." ma:contentTypeScope="" ma:versionID="0de0b30cebb334a1e44ecd89db6cd7b3">
  <xsd:schema xmlns:xsd="http://www.w3.org/2001/XMLSchema" xmlns:xs="http://www.w3.org/2001/XMLSchema" xmlns:p="http://schemas.microsoft.com/office/2006/metadata/properties" xmlns:ns2="e68a7591-65f0-4645-b342-0e87a91376d5" targetNamespace="http://schemas.microsoft.com/office/2006/metadata/properties" ma:root="true" ma:fieldsID="07c0176bc87653e367986c12c296f2b6" ns2:_="">
    <xsd:import namespace="e68a7591-65f0-4645-b342-0e87a91376d5"/>
    <xsd:element name="properties">
      <xsd:complexType>
        <xsd:sequence>
          <xsd:element name="documentManagement">
            <xsd:complexType>
              <xsd:all>
                <xsd:element ref="ns2:Descar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7591-65f0-4645-b342-0e87a91376d5" elementFormDefault="qualified">
    <xsd:import namespace="http://schemas.microsoft.com/office/2006/documentManagement/types"/>
    <xsd:import namespace="http://schemas.microsoft.com/office/infopath/2007/PartnerControls"/>
    <xsd:element name="Descargar" ma:index="8" nillable="true" ma:displayName="Descargar" ma:default="&amp;lt;a class-&amp;quot;ms-listlink ms-draggable&amp;quot; onclick-&amp;quot;return DispEx(this,event,&amp;#39;TRUE&amp;#39;,&amp;#39;FALSE&amp;#39;,&amp;#39;FALSE&amp;#39;,&amp;#39;SharePoint.OpenDocuments.3&amp;#39;,&amp;#39;1&amp;#39;1&amp;#39;1&amp;#39;1&amp;#39;1&amp;#39;1&amp;#39;1&amp;#39;1&amp;#39;,&amp;#39;SharePoint.OpenDocuments&amp;#39;,&amp;#39;&amp;#39;&amp;#39;&amp;#39;&amp;#39;&amp;#39;,&amp;#39;&amp;#39;&amp;#39;,&amp;#39;&amp;#39;1&amp;#39;,&amp;#39;0&amp;#39;,&amp;#39;0&amp;#39;,&amp;#39;0x7fffffffffff&amp;#39;)&amp;quot; href&amp;#39;&amp;quot;[%Elemento actual: URL relativa del servidor%]&amp;quot; DragId&amp;quot;&amp;quot;7&amp;quot;&amp;gt;Prueba&amp;lt;/a&amp;gt;" ma:description="" ma:internalName="Descarga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argar xmlns="e68a7591-65f0-4645-b342-0e87a91376d5">&lt;a class="ms-listlink ms-draggable" target="_blank" href="/transparenciaInst/_layouts/download.aspx?SourceUrl=https%3a//www.aya.go.cr/transparenciaInst/rendicion_cuentas/InforEspAuditoria/Informes%202019/AU-2019-00146.docx"&gt;
&lt;img unselectable="on" alt="" src="/transparenciaInst/datos_abiertos/Activos%20del%20Sitio/descargar.png" style="top:0px;left:-320px" /&gt;&lt;/a&gt;</Descargar>
  </documentManagement>
</p:properties>
</file>

<file path=customXml/itemProps1.xml><?xml version="1.0" encoding="utf-8"?>
<ds:datastoreItem xmlns:ds="http://schemas.openxmlformats.org/officeDocument/2006/customXml" ds:itemID="{2960353D-73C3-418E-9440-FB51AB018CE8}"/>
</file>

<file path=customXml/itemProps2.xml><?xml version="1.0" encoding="utf-8"?>
<ds:datastoreItem xmlns:ds="http://schemas.openxmlformats.org/officeDocument/2006/customXml" ds:itemID="{D7B480D0-32F0-4A94-BEB5-E00C2C9AD3E6}"/>
</file>

<file path=customXml/itemProps3.xml><?xml version="1.0" encoding="utf-8"?>
<ds:datastoreItem xmlns:ds="http://schemas.openxmlformats.org/officeDocument/2006/customXml" ds:itemID="{32F92BFC-CEC5-41E4-BEED-80BD92D34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AU-2019-00146</dc:title>
  <dc:subject/>
  <dc:creator>Nancy Gonzalez Carrillo</dc:creator>
  <cp:keywords/>
  <dc:description/>
  <cp:lastModifiedBy>Nancy Gonzalez Carrillo</cp:lastModifiedBy>
  <cp:revision>3</cp:revision>
  <dcterms:created xsi:type="dcterms:W3CDTF">2019-05-07T15:20:00Z</dcterms:created>
  <dcterms:modified xsi:type="dcterms:W3CDTF">2019-05-07T15:55:00Z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0x010100C020C3B2D573F345A6D4940144AE1DBE</vt:lpwstr>
  </property>
  <property fmtid="{D5CDD505-2E9C-101B-9397-08002B2CF9AE}" pid="3" name="WorkflowChangePath">
    <vt:lpwstr>8e6a93d3-fd67-4b2b-9c83-4e67faf5ff90,2;0db8ce61-d9f4-4a02-83e9-d79846e59b90,3;</vt:lpwstr>
  </property>
</Properties>
</file>